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БЮДЖЕТНОЕ ДОШКОЛЬНОЕ ОБРАЗОВАТЕЛЬНОЕ УЧРЕЖДЕНИЕ ДЕТСКИЙ САД «УЛЫБКА» Г. ВОЛГОДОНСКА</w:t>
      </w:r>
    </w:p>
    <w:p w14:paraId="02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3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4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5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6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7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8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9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A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B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C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D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E000000">
      <w:pPr>
        <w:spacing w:line="240" w:lineRule="auto"/>
        <w:ind/>
        <w:contextualSpacing w:val="1"/>
        <w:jc w:val="both"/>
        <w:rPr>
          <w:rFonts w:ascii="Times New Roman" w:hAnsi="Times New Roman"/>
          <w:sz w:val="32"/>
        </w:rPr>
      </w:pPr>
    </w:p>
    <w:p w14:paraId="0F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44"/>
        </w:rPr>
      </w:pPr>
      <w:r>
        <w:rPr>
          <w:rFonts w:ascii="Times New Roman" w:hAnsi="Times New Roman"/>
          <w:b w:val="1"/>
          <w:sz w:val="44"/>
        </w:rPr>
        <w:t>Аналитическая справка</w:t>
      </w:r>
    </w:p>
    <w:p w14:paraId="10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по результатам педагогической диагностики</w:t>
      </w:r>
    </w:p>
    <w:p w14:paraId="11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воспитательно </w:t>
      </w:r>
      <w:r>
        <w:rPr>
          <w:rFonts w:ascii="Times New Roman" w:hAnsi="Times New Roman"/>
          <w:b w:val="1"/>
          <w:sz w:val="32"/>
        </w:rPr>
        <w:t xml:space="preserve">- образовательного процесса </w:t>
      </w:r>
    </w:p>
    <w:p w14:paraId="12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на конец 2025-2026 учебного года</w:t>
      </w:r>
    </w:p>
    <w:p w14:paraId="13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в старшей группе компенсирующей направленности (5-6 лет) №14</w:t>
      </w:r>
    </w:p>
    <w:p w14:paraId="14000000">
      <w:pPr>
        <w:spacing w:line="24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15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6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7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8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9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A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B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C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Воспитатели: </w:t>
      </w:r>
    </w:p>
    <w:p w14:paraId="1D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Юдина С.М., высшая  </w:t>
      </w:r>
    </w:p>
    <w:p w14:paraId="1E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квалификационная категория;       </w:t>
      </w:r>
    </w:p>
    <w:p w14:paraId="1F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</w:rPr>
        <w:t>Степанько</w:t>
      </w:r>
      <w:r>
        <w:rPr>
          <w:rFonts w:ascii="Times New Roman" w:hAnsi="Times New Roman"/>
          <w:sz w:val="28"/>
        </w:rPr>
        <w:t xml:space="preserve"> Н.А., высшая</w:t>
      </w:r>
    </w:p>
    <w:p w14:paraId="20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квалификационная категория</w:t>
      </w:r>
    </w:p>
    <w:p w14:paraId="21000000">
      <w:pPr>
        <w:spacing w:line="24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22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3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4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5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6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7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8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9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A000000">
      <w:pPr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г.Волгодонск</w:t>
      </w:r>
      <w:r>
        <w:rPr>
          <w:rFonts w:ascii="Times New Roman" w:hAnsi="Times New Roman"/>
          <w:sz w:val="28"/>
        </w:rPr>
        <w:t>, 2025-2026 учебный год</w:t>
      </w:r>
    </w:p>
    <w:p w14:paraId="2B000000">
      <w:pPr>
        <w:spacing w:line="360" w:lineRule="auto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Аналитическая справка</w:t>
      </w:r>
    </w:p>
    <w:p w14:paraId="2C000000">
      <w:pPr>
        <w:spacing w:after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приказа заведующего МБДОУ ДС «Улыбка» г. Волгодонска от 15.05.2026  №158 «Об организации педагогической диагностики на конец   2025 – 2026 учебного года» было организовано  проведение педагогической  диагностики по реализуемой Адаптированной образовательной программе дошкольного образования муниципального бюджетного дошкольного образовательного учреждения детского сада «Улыбка» г. Волгодонска для детей с тяжелыми нарушениями речи на конец 2025-2026 учебного года, в  целях обеспечения научного, дифференцированного индивидуального подхода к организации образовательной работы с детьми на основе  педагогической диагностики в течение всего периода пребывания ребёнка в детском саду и  в соответствии с годовым планом работы на 2025 – 2026 учебный год, с целью  выявления наличия динамики развития каждого ребенка, в срок с 15.05 по  по 22.05.2026г. </w:t>
      </w:r>
    </w:p>
    <w:p w14:paraId="2D000000">
      <w:pPr>
        <w:spacing w:after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Педагогическая диагностика по реализуемой рабочей программе воспитателей старшей  группы №14 компенсирующей направленности (5 - 6 лет) на 2025 - 2026 учебный год муниципального бюджетного </w:t>
      </w:r>
      <w:r>
        <w:rPr>
          <w:rFonts w:ascii="Times New Roman" w:hAnsi="Times New Roman"/>
          <w:sz w:val="24"/>
        </w:rPr>
        <w:t xml:space="preserve">дошкольного </w:t>
      </w:r>
      <w:r>
        <w:rPr>
          <w:rFonts w:ascii="Times New Roman" w:hAnsi="Times New Roman"/>
          <w:sz w:val="24"/>
        </w:rPr>
        <w:t>образовательного учреждения детского сада «Улыбка» г. Волгодонска разработанной на основе Адаптированной образовательной программы дошкольного образования муниципального бюджетного дошкольного образовательного учреждения детского сада «Улыбка» г. Волгодонска на конец 2025 -2026 учебного года включает:</w:t>
      </w:r>
    </w:p>
    <w:p w14:paraId="2E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- образовательные области:</w:t>
      </w:r>
      <w:bookmarkStart w:id="1" w:name="_GoBack"/>
      <w:bookmarkEnd w:id="1"/>
    </w:p>
    <w:p w14:paraId="2F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«Социально – коммуникативное развитие»;</w:t>
      </w:r>
    </w:p>
    <w:p w14:paraId="30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«Познавательное развитие»;</w:t>
      </w:r>
    </w:p>
    <w:p w14:paraId="31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«Речевое развитие»;</w:t>
      </w:r>
    </w:p>
    <w:p w14:paraId="32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«Художественно – эстетическое развитие»;</w:t>
      </w:r>
    </w:p>
    <w:p w14:paraId="33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«Физическое развитие».</w:t>
      </w:r>
    </w:p>
    <w:p w14:paraId="34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Характеристика детей</w:t>
      </w:r>
    </w:p>
    <w:p w14:paraId="36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 детей в группе: 13</w:t>
      </w:r>
    </w:p>
    <w:p w14:paraId="37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Диагностируемые дети: 13</w:t>
      </w:r>
    </w:p>
    <w:p w14:paraId="38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мальчиков в группе: 9</w:t>
      </w:r>
    </w:p>
    <w:p w14:paraId="39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девочек в группе: 4</w:t>
      </w:r>
    </w:p>
    <w:p w14:paraId="3A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Средний возраст: 6 лет</w:t>
      </w:r>
    </w:p>
    <w:p w14:paraId="3B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</w:p>
    <w:p w14:paraId="3C000000">
      <w:pPr>
        <w:spacing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итогам педагогической диагностики на конец 2025 – </w:t>
      </w:r>
      <w:r>
        <w:rPr>
          <w:rFonts w:ascii="Times New Roman" w:hAnsi="Times New Roman"/>
          <w:sz w:val="24"/>
        </w:rPr>
        <w:t>2026 учебного года выявлены следующие результаты:</w:t>
      </w:r>
    </w:p>
    <w:p w14:paraId="3D000000">
      <w:pPr>
        <w:spacing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</w:p>
    <w:tbl>
      <w:tblPr>
        <w:tblStyle w:val="Style_1"/>
        <w:tblInd w:type="dxa" w:w="-176"/>
        <w:tblLayout w:type="fixed"/>
      </w:tblPr>
      <w:tblGrid>
        <w:gridCol w:w="2101"/>
        <w:gridCol w:w="1220"/>
        <w:gridCol w:w="1300"/>
        <w:gridCol w:w="1250"/>
        <w:gridCol w:w="1260"/>
        <w:gridCol w:w="1230"/>
        <w:gridCol w:w="1170"/>
      </w:tblGrid>
      <w:tr>
        <w:trPr>
          <w:trHeight w:hRule="atLeast" w:val="395"/>
        </w:trPr>
        <w:tc>
          <w:tcPr>
            <w:tcW w:type="dxa" w:w="2101"/>
            <w:vMerge w:val="restart"/>
          </w:tcPr>
          <w:p w14:paraId="3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bookmarkStart w:id="2" w:name="_Hlk167086206"/>
            <w:bookmarkStart w:id="3" w:name="_Hlk167086254"/>
          </w:p>
          <w:p w14:paraId="3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Образовательная область</w:t>
            </w:r>
          </w:p>
        </w:tc>
        <w:tc>
          <w:tcPr>
            <w:tcW w:type="dxa" w:w="3770"/>
            <w:gridSpan w:val="3"/>
          </w:tcPr>
          <w:p w14:paraId="40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 года</w:t>
            </w:r>
          </w:p>
        </w:tc>
        <w:tc>
          <w:tcPr>
            <w:tcW w:type="dxa" w:w="3660"/>
            <w:gridSpan w:val="3"/>
          </w:tcPr>
          <w:p w14:paraId="41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Конец года</w:t>
            </w:r>
          </w:p>
        </w:tc>
      </w:tr>
      <w:tr>
        <w:trPr>
          <w:trHeight w:hRule="atLeast" w:val="131"/>
        </w:trPr>
        <w:tc>
          <w:tcPr>
            <w:tcW w:type="dxa" w:w="2101"/>
            <w:gridSpan w:val="1"/>
            <w:vMerge w:val="continue"/>
          </w:tcPr>
          <w:p/>
        </w:tc>
        <w:tc>
          <w:tcPr>
            <w:tcW w:type="dxa" w:w="1220"/>
          </w:tcPr>
          <w:p w14:paraId="42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Высокий</w:t>
            </w:r>
          </w:p>
          <w:p w14:paraId="43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  <w:tc>
          <w:tcPr>
            <w:tcW w:type="dxa" w:w="1300"/>
          </w:tcPr>
          <w:p w14:paraId="44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Средний</w:t>
            </w:r>
          </w:p>
          <w:p w14:paraId="45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  <w:tc>
          <w:tcPr>
            <w:tcW w:type="dxa" w:w="1250"/>
          </w:tcPr>
          <w:p w14:paraId="46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Низкий</w:t>
            </w:r>
          </w:p>
          <w:p w14:paraId="47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  <w:tc>
          <w:tcPr>
            <w:tcW w:type="dxa" w:w="1260"/>
          </w:tcPr>
          <w:p w14:paraId="48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Высокий</w:t>
            </w:r>
          </w:p>
          <w:p w14:paraId="49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  <w:p w14:paraId="4A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30"/>
          </w:tcPr>
          <w:p w14:paraId="4B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Средний</w:t>
            </w:r>
          </w:p>
          <w:p w14:paraId="4C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  <w:p w14:paraId="4D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170"/>
          </w:tcPr>
          <w:p w14:paraId="4E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Низкий</w:t>
            </w:r>
          </w:p>
          <w:p w14:paraId="4F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</w:tr>
      <w:tr>
        <w:trPr>
          <w:trHeight w:hRule="atLeast" w:val="630"/>
        </w:trPr>
        <w:tc>
          <w:tcPr>
            <w:tcW w:type="dxa" w:w="2101"/>
          </w:tcPr>
          <w:p w14:paraId="5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1.«</w:t>
            </w:r>
            <w:r>
              <w:rPr>
                <w:rFonts w:ascii="Times New Roman" w:hAnsi="Times New Roman"/>
                <w:sz w:val="24"/>
              </w:rPr>
              <w:t>Социально – коммуникативное развитие»</w:t>
            </w:r>
          </w:p>
        </w:tc>
        <w:tc>
          <w:tcPr>
            <w:tcW w:type="dxa" w:w="1220"/>
          </w:tcPr>
          <w:p w14:paraId="5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5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5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ребёнка </w:t>
            </w:r>
          </w:p>
          <w:p w14:paraId="5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(30 %)</w:t>
            </w:r>
          </w:p>
        </w:tc>
        <w:tc>
          <w:tcPr>
            <w:tcW w:type="dxa" w:w="1250"/>
          </w:tcPr>
          <w:p w14:paraId="5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детей</w:t>
            </w:r>
          </w:p>
          <w:p w14:paraId="5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(70 %)</w:t>
            </w:r>
            <w:bookmarkEnd w:id="2"/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 детей </w:t>
            </w:r>
          </w:p>
          <w:p w14:paraId="5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(85 %)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</w:p>
          <w:p w14:paraId="5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(15 %)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5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  <w:tr>
        <w:trPr>
          <w:trHeight w:hRule="atLeast" w:val="603"/>
        </w:trPr>
        <w:tc>
          <w:tcPr>
            <w:tcW w:type="dxa" w:w="2101"/>
          </w:tcPr>
          <w:p w14:paraId="5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2.«</w:t>
            </w:r>
            <w:r>
              <w:rPr>
                <w:rFonts w:ascii="Times New Roman" w:hAnsi="Times New Roman"/>
                <w:sz w:val="24"/>
              </w:rPr>
              <w:t>Познавательное развитие»</w:t>
            </w:r>
          </w:p>
        </w:tc>
        <w:tc>
          <w:tcPr>
            <w:tcW w:type="dxa" w:w="1220"/>
          </w:tcPr>
          <w:p w14:paraId="5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5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6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</w:p>
          <w:p w14:paraId="6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(20 %)</w:t>
            </w:r>
          </w:p>
        </w:tc>
        <w:tc>
          <w:tcPr>
            <w:tcW w:type="dxa" w:w="1250"/>
          </w:tcPr>
          <w:p w14:paraId="6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детей</w:t>
            </w:r>
          </w:p>
          <w:p w14:paraId="6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(80 %)</w:t>
            </w:r>
            <w:bookmarkEnd w:id="3"/>
          </w:p>
        </w:tc>
        <w:tc>
          <w:tcPr>
            <w:tcW w:type="dxa" w:w="1260"/>
          </w:tcPr>
          <w:p w14:paraId="6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 детей </w:t>
            </w:r>
          </w:p>
          <w:p w14:paraId="6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(54 %)</w:t>
            </w:r>
          </w:p>
        </w:tc>
        <w:tc>
          <w:tcPr>
            <w:tcW w:type="dxa" w:w="1230"/>
          </w:tcPr>
          <w:p w14:paraId="6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 детей </w:t>
            </w:r>
          </w:p>
          <w:p w14:paraId="6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(38 %)</w:t>
            </w:r>
          </w:p>
        </w:tc>
        <w:tc>
          <w:tcPr>
            <w:tcW w:type="dxa" w:w="1170"/>
          </w:tcPr>
          <w:p w14:paraId="6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1ребёнок </w:t>
            </w:r>
          </w:p>
          <w:p w14:paraId="6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(8 %)</w:t>
            </w:r>
          </w:p>
        </w:tc>
      </w:tr>
      <w:tr>
        <w:trPr>
          <w:trHeight w:hRule="atLeast" w:val="550"/>
        </w:trPr>
        <w:tc>
          <w:tcPr>
            <w:tcW w:type="dxa" w:w="2101"/>
          </w:tcPr>
          <w:p w14:paraId="6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«Речевое развитие»</w:t>
            </w:r>
          </w:p>
        </w:tc>
        <w:tc>
          <w:tcPr>
            <w:tcW w:type="dxa" w:w="1220"/>
          </w:tcPr>
          <w:p w14:paraId="6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6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6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6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250"/>
          </w:tcPr>
          <w:p w14:paraId="6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детей</w:t>
            </w:r>
          </w:p>
          <w:p w14:paraId="7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(100 %)</w:t>
            </w:r>
          </w:p>
        </w:tc>
        <w:tc>
          <w:tcPr>
            <w:tcW w:type="dxa" w:w="1260"/>
          </w:tcPr>
          <w:p w14:paraId="7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ребёнка </w:t>
            </w:r>
          </w:p>
          <w:p w14:paraId="7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(31 %)</w:t>
            </w:r>
          </w:p>
        </w:tc>
        <w:tc>
          <w:tcPr>
            <w:tcW w:type="dxa" w:w="1230"/>
          </w:tcPr>
          <w:p w14:paraId="7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6 детей </w:t>
            </w:r>
          </w:p>
          <w:p w14:paraId="7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(46 %)</w:t>
            </w:r>
          </w:p>
          <w:p w14:paraId="7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70"/>
          </w:tcPr>
          <w:p w14:paraId="7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3ребёнка</w:t>
            </w:r>
          </w:p>
          <w:p w14:paraId="7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(23 %)</w:t>
            </w:r>
          </w:p>
        </w:tc>
      </w:tr>
      <w:tr>
        <w:trPr>
          <w:trHeight w:hRule="atLeast" w:val="639"/>
        </w:trPr>
        <w:tc>
          <w:tcPr>
            <w:tcW w:type="dxa" w:w="2101"/>
          </w:tcPr>
          <w:p w14:paraId="7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4.«Художествен</w:t>
            </w:r>
          </w:p>
          <w:p w14:paraId="7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 – эстетическое развитие»</w:t>
            </w:r>
          </w:p>
        </w:tc>
        <w:tc>
          <w:tcPr>
            <w:tcW w:type="dxa" w:w="1220"/>
          </w:tcPr>
          <w:p w14:paraId="7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7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7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</w:p>
          <w:p w14:paraId="7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(20 %)</w:t>
            </w:r>
          </w:p>
        </w:tc>
        <w:tc>
          <w:tcPr>
            <w:tcW w:type="dxa" w:w="1250"/>
          </w:tcPr>
          <w:p w14:paraId="7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детей</w:t>
            </w:r>
          </w:p>
          <w:p w14:paraId="7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(80 %)</w:t>
            </w:r>
          </w:p>
        </w:tc>
        <w:tc>
          <w:tcPr>
            <w:tcW w:type="dxa" w:w="1260"/>
          </w:tcPr>
          <w:p w14:paraId="8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ребёнка </w:t>
            </w:r>
          </w:p>
          <w:p w14:paraId="8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(31 %)</w:t>
            </w:r>
          </w:p>
        </w:tc>
        <w:tc>
          <w:tcPr>
            <w:tcW w:type="dxa" w:w="1230"/>
          </w:tcPr>
          <w:p w14:paraId="8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 детей </w:t>
            </w:r>
          </w:p>
          <w:p w14:paraId="8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(54 %)</w:t>
            </w:r>
          </w:p>
          <w:p w14:paraId="8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70"/>
          </w:tcPr>
          <w:p w14:paraId="8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2ребёнка </w:t>
            </w:r>
          </w:p>
          <w:p w14:paraId="8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(15 %)</w:t>
            </w:r>
          </w:p>
        </w:tc>
      </w:tr>
      <w:tr>
        <w:trPr>
          <w:trHeight w:hRule="atLeast" w:val="569"/>
        </w:trPr>
        <w:tc>
          <w:tcPr>
            <w:tcW w:type="dxa" w:w="2101"/>
          </w:tcPr>
          <w:p w14:paraId="8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«Физическое развитие»</w:t>
            </w:r>
          </w:p>
        </w:tc>
        <w:tc>
          <w:tcPr>
            <w:tcW w:type="dxa" w:w="1220"/>
          </w:tcPr>
          <w:p w14:paraId="8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8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8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ребёнка</w:t>
            </w:r>
          </w:p>
          <w:p w14:paraId="8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(40 %)</w:t>
            </w:r>
          </w:p>
        </w:tc>
        <w:tc>
          <w:tcPr>
            <w:tcW w:type="dxa" w:w="1250"/>
          </w:tcPr>
          <w:p w14:paraId="8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 детей</w:t>
            </w:r>
          </w:p>
          <w:p w14:paraId="8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(60 %)</w:t>
            </w:r>
          </w:p>
        </w:tc>
        <w:tc>
          <w:tcPr>
            <w:tcW w:type="dxa" w:w="1260"/>
          </w:tcPr>
          <w:p w14:paraId="8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детей </w:t>
            </w:r>
          </w:p>
          <w:p w14:paraId="8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(77 %)</w:t>
            </w:r>
          </w:p>
        </w:tc>
        <w:tc>
          <w:tcPr>
            <w:tcW w:type="dxa" w:w="1230"/>
          </w:tcPr>
          <w:p w14:paraId="9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ребёнка </w:t>
            </w:r>
          </w:p>
          <w:p w14:paraId="9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(23 %)</w:t>
            </w:r>
          </w:p>
          <w:p w14:paraId="9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70"/>
          </w:tcPr>
          <w:p w14:paraId="9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9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</w:tbl>
    <w:p w14:paraId="95000000">
      <w:pPr>
        <w:pStyle w:val="Style_2"/>
        <w:spacing w:after="0"/>
        <w:ind/>
        <w:contextualSpacing w:val="1"/>
        <w:jc w:val="center"/>
        <w:rPr>
          <w:b w:val="1"/>
        </w:rPr>
      </w:pPr>
    </w:p>
    <w:p w14:paraId="96000000">
      <w:pPr>
        <w:pStyle w:val="Style_2"/>
        <w:spacing w:after="0"/>
        <w:ind/>
        <w:contextualSpacing w:val="1"/>
        <w:jc w:val="center"/>
        <w:rPr>
          <w:b w:val="1"/>
        </w:rPr>
      </w:pPr>
      <w:r>
        <w:rPr>
          <w:b w:val="1"/>
        </w:rPr>
        <w:t>Сводная таблица наличных показателей развития воспитанников подготовительной группы компенсирующей направленности для детей с нарушением речи № 14 на конец 2025-2026 учебного года:</w:t>
      </w:r>
    </w:p>
    <w:p w14:paraId="97000000">
      <w:pPr>
        <w:pStyle w:val="Style_2"/>
        <w:spacing w:after="0"/>
        <w:ind/>
        <w:contextualSpacing w:val="1"/>
        <w:jc w:val="center"/>
        <w:rPr>
          <w:b w:val="1"/>
        </w:rPr>
      </w:pPr>
    </w:p>
    <w:tbl>
      <w:tblPr>
        <w:tblStyle w:val="Style_1"/>
        <w:tblLayout w:type="fixed"/>
      </w:tblPr>
      <w:tblGrid>
        <w:gridCol w:w="4676"/>
        <w:gridCol w:w="4669"/>
      </w:tblGrid>
      <w:tr>
        <w:tc>
          <w:tcPr>
            <w:tcW w:type="dxa" w:w="4676"/>
          </w:tcPr>
          <w:p w14:paraId="98000000">
            <w:pPr>
              <w:pStyle w:val="Style_2"/>
              <w:ind/>
              <w:contextualSpacing w:val="1"/>
              <w:jc w:val="both"/>
            </w:pPr>
            <w:r>
              <w:t>Высокий уровень</w:t>
            </w:r>
          </w:p>
        </w:tc>
        <w:tc>
          <w:tcPr>
            <w:tcW w:type="dxa" w:w="4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 детей  </w:t>
            </w:r>
            <w:r>
              <w:rPr>
                <w:rFonts w:ascii="Times New Roman" w:hAnsi="Times New Roman"/>
                <w:sz w:val="24"/>
              </w:rPr>
              <w:t>(61 %)</w:t>
            </w:r>
          </w:p>
        </w:tc>
      </w:tr>
      <w:tr>
        <w:tc>
          <w:tcPr>
            <w:tcW w:type="dxa" w:w="4676"/>
          </w:tcPr>
          <w:p w14:paraId="9A000000">
            <w:pPr>
              <w:pStyle w:val="Style_2"/>
              <w:ind/>
              <w:contextualSpacing w:val="1"/>
              <w:jc w:val="both"/>
            </w:pPr>
            <w:r>
              <w:t>Средний уровень</w:t>
            </w:r>
          </w:p>
        </w:tc>
        <w:tc>
          <w:tcPr>
            <w:tcW w:type="dxa" w:w="4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ребёнка </w:t>
            </w:r>
            <w:r>
              <w:rPr>
                <w:rFonts w:ascii="Times New Roman" w:hAnsi="Times New Roman"/>
                <w:sz w:val="24"/>
              </w:rPr>
              <w:t>(31%)</w:t>
            </w:r>
          </w:p>
        </w:tc>
      </w:tr>
      <w:tr>
        <w:tc>
          <w:tcPr>
            <w:tcW w:type="dxa" w:w="4676"/>
          </w:tcPr>
          <w:p w14:paraId="9C000000">
            <w:pPr>
              <w:pStyle w:val="Style_2"/>
              <w:ind/>
              <w:contextualSpacing w:val="1"/>
              <w:jc w:val="both"/>
            </w:pPr>
            <w:r>
              <w:t>Низкий уровень</w:t>
            </w:r>
          </w:p>
        </w:tc>
        <w:tc>
          <w:tcPr>
            <w:tcW w:type="dxa" w:w="4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ребёнок  </w:t>
            </w:r>
            <w:r>
              <w:rPr>
                <w:rFonts w:ascii="Times New Roman" w:hAnsi="Times New Roman"/>
                <w:sz w:val="24"/>
              </w:rPr>
              <w:t>(8 %)</w:t>
            </w:r>
          </w:p>
        </w:tc>
      </w:tr>
    </w:tbl>
    <w:p w14:paraId="9E000000">
      <w:pPr>
        <w:spacing w:afterAutospacing="on" w:beforeAutospacing="on" w:line="240" w:lineRule="auto"/>
        <w:ind w:firstLine="708"/>
        <w:contextualSpacing w:val="1"/>
        <w:jc w:val="both"/>
      </w:pPr>
    </w:p>
    <w:p w14:paraId="9F000000">
      <w:pPr>
        <w:spacing w:afterAutospacing="on" w:beforeAutospacing="on" w:line="240" w:lineRule="auto"/>
        <w:ind w:firstLine="708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данным результатам можно сделать вывод, что за год  дети усвоили программный материал и овладели необходимыми знаниями, умениями и навыками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воспитанники демонстрируют положительную динамику развития  по всем образовательным областям. Только один ребёнок по данным диагностики демонстрирует низкий уровень развития , по причине длительного непосещения детского сада по семейным обстоятельствам.</w:t>
      </w:r>
    </w:p>
    <w:p w14:paraId="A0000000">
      <w:pPr>
        <w:spacing w:afterAutospacing="on" w:beforeAutospacing="on" w:line="240" w:lineRule="auto"/>
        <w:ind w:firstLine="708"/>
        <w:contextualSpacing w:val="1"/>
        <w:jc w:val="both"/>
        <w:rPr>
          <w:rFonts w:ascii="Times New Roman" w:hAnsi="Times New Roman"/>
          <w:sz w:val="24"/>
        </w:rPr>
      </w:pPr>
    </w:p>
    <w:p w14:paraId="A1000000">
      <w:pPr>
        <w:spacing w:afterAutospacing="on" w:beforeAutospacing="on" w:line="240" w:lineRule="auto"/>
        <w:ind w:firstLine="708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Рекомендации</w:t>
      </w:r>
      <w:r>
        <w:rPr>
          <w:rFonts w:ascii="Times New Roman" w:hAnsi="Times New Roman"/>
          <w:b w:val="1"/>
          <w:i w:val="1"/>
          <w:sz w:val="24"/>
        </w:rPr>
        <w:t xml:space="preserve"> по результатам педагогической диагностики на конец 2025</w:t>
      </w:r>
      <w:r>
        <w:rPr>
          <w:rFonts w:ascii="Times New Roman" w:hAnsi="Times New Roman"/>
          <w:b w:val="1"/>
          <w:i w:val="1"/>
          <w:sz w:val="24"/>
        </w:rPr>
        <w:t>-2026</w:t>
      </w:r>
      <w:r>
        <w:rPr>
          <w:rFonts w:ascii="Times New Roman" w:hAnsi="Times New Roman"/>
          <w:b w:val="1"/>
          <w:i w:val="1"/>
          <w:sz w:val="24"/>
        </w:rPr>
        <w:t xml:space="preserve"> учебного года для планирования работы с детьми старшей группы компенсирующей направленности для детей с нарушением речи № 14.</w:t>
      </w:r>
    </w:p>
    <w:p w14:paraId="A2000000">
      <w:pPr>
        <w:spacing w:afterAutospacing="on" w:beforeAutospacing="on" w:line="240" w:lineRule="auto"/>
        <w:ind w:firstLine="708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</w:p>
    <w:p w14:paraId="A3000000">
      <w:pPr>
        <w:numPr>
          <w:ilvl w:val="3"/>
          <w:numId w:val="2"/>
        </w:numPr>
        <w:spacing w:afterAutospacing="on" w:beforeAutospacing="on" w:line="240" w:lineRule="auto"/>
        <w:ind w:firstLine="851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образовательной области </w:t>
      </w:r>
      <w:r>
        <w:rPr>
          <w:rFonts w:ascii="Times New Roman" w:hAnsi="Times New Roman"/>
          <w:b w:val="1"/>
          <w:sz w:val="24"/>
        </w:rPr>
        <w:t xml:space="preserve">«Социально – коммуникативное развитие» . </w:t>
      </w:r>
      <w:r>
        <w:rPr>
          <w:rFonts w:ascii="Times New Roman" w:hAnsi="Times New Roman"/>
          <w:sz w:val="24"/>
        </w:rPr>
        <w:t xml:space="preserve">Продолжать создавать условия для  </w:t>
      </w:r>
      <w:r>
        <w:rPr>
          <w:rFonts w:ascii="Times New Roman" w:hAnsi="Times New Roman"/>
          <w:sz w:val="24"/>
        </w:rPr>
        <w:t>усвоения норм и ценностей, принятых в обществе, включая моральные и нравственные ценности;  продолжить работу по  становлению самостоятельности, целенаправленности и саморегуляции собственных действий детей; развивать социальный и эмоциональный интеллект, эмоциональную отзывчивость, сопереживание; формировать чувство уважительного отношения и чувства принадлежности к своей семье и к обществу детей ; формировать позитивные установки к различным видам труда и творчества;  формировать основы безопасного поведения воспитанников в быту, социуме, природе; продолжать способствовать формированию  готовности к совместной деятельности со сверстниками;  развивать игровую деятельность детей с целью освоения различных социальных ролей.</w:t>
      </w:r>
    </w:p>
    <w:p w14:paraId="A4000000">
      <w:pPr>
        <w:spacing w:afterAutospacing="on" w:beforeAutospacing="on" w:line="240" w:lineRule="auto"/>
        <w:ind w:firstLine="851" w:left="0"/>
        <w:contextualSpacing w:val="1"/>
        <w:jc w:val="both"/>
        <w:rPr>
          <w:rFonts w:ascii="Times New Roman" w:hAnsi="Times New Roman"/>
          <w:sz w:val="24"/>
        </w:rPr>
      </w:pPr>
    </w:p>
    <w:p w14:paraId="A5000000">
      <w:pPr>
        <w:numPr>
          <w:ilvl w:val="3"/>
          <w:numId w:val="2"/>
        </w:numPr>
        <w:spacing w:afterAutospacing="on" w:beforeAutospacing="on" w:line="240" w:lineRule="auto"/>
        <w:ind w:firstLine="851" w:left="0"/>
        <w:contextualSpacing w:val="1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По образовательной области </w:t>
      </w:r>
      <w:r>
        <w:rPr>
          <w:rFonts w:ascii="Times New Roman" w:hAnsi="Times New Roman"/>
          <w:b w:val="1"/>
          <w:sz w:val="24"/>
        </w:rPr>
        <w:t>«Познавательное развитие»</w:t>
      </w:r>
    </w:p>
    <w:p w14:paraId="A6000000">
      <w:pPr>
        <w:spacing w:afterAutospacing="on" w:beforeAutospacing="on" w:line="240" w:lineRule="auto"/>
        <w:ind w:firstLine="0" w:left="0"/>
        <w:contextualSpacing w:val="1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Расширять кругозор детей, их основные пред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 xml:space="preserve">ставления о природных, социальных явлениях,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накапливать у детей знания и впечатления, об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суждая  и анализи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руя поведение люд ей</w:t>
      </w:r>
      <w:r>
        <w:rPr>
          <w:rFonts w:ascii="Times New Roman" w:hAnsi="Times New Roman"/>
          <w:sz w:val="24"/>
        </w:rPr>
        <w:t xml:space="preserve">. Продолжить работу по </w:t>
      </w:r>
      <w:r>
        <w:rPr>
          <w:rFonts w:ascii="Times New Roman" w:hAnsi="Times New Roman"/>
          <w:color w:val="111111"/>
          <w:sz w:val="24"/>
          <w:highlight w:val="white"/>
        </w:rPr>
        <w:t> </w:t>
      </w:r>
      <w:r>
        <w:rPr>
          <w:rFonts w:ascii="Times New Roman" w:hAnsi="Times New Roman"/>
          <w:b w:val="0"/>
          <w:color w:val="111111"/>
          <w:sz w:val="24"/>
          <w:highlight w:val="white"/>
        </w:rPr>
        <w:t>развитию у детей познавательной активности</w:t>
      </w:r>
      <w:r>
        <w:rPr>
          <w:rFonts w:ascii="Times New Roman" w:hAnsi="Times New Roman"/>
          <w:color w:val="111111"/>
          <w:sz w:val="24"/>
          <w:highlight w:val="white"/>
        </w:rPr>
        <w:t>,</w:t>
      </w:r>
      <w:r>
        <w:rPr>
          <w:rFonts w:ascii="Times New Roman" w:hAnsi="Times New Roman"/>
          <w:b w:val="1"/>
          <w:color w:val="111111"/>
          <w:sz w:val="24"/>
          <w:highlight w:val="white"/>
        </w:rPr>
        <w:t xml:space="preserve"> </w:t>
      </w:r>
      <w:r>
        <w:rPr>
          <w:rFonts w:ascii="Times New Roman" w:hAnsi="Times New Roman"/>
          <w:color w:val="111111"/>
          <w:sz w:val="24"/>
          <w:highlight w:val="white"/>
        </w:rPr>
        <w:t>умения выдвигать гипотезы, сравнивать, делать выводы самостоятельно или с помощью взрослого; формировать  представления об объектах и явлениях  </w:t>
      </w:r>
      <w:r>
        <w:rPr>
          <w:rFonts w:ascii="Times New Roman" w:hAnsi="Times New Roman"/>
          <w:b w:val="0"/>
          <w:color w:val="111111"/>
          <w:sz w:val="24"/>
          <w:highlight w:val="white"/>
        </w:rPr>
        <w:t>через опыт или эксперимент,</w:t>
      </w:r>
      <w:r>
        <w:rPr>
          <w:rFonts w:ascii="Times New Roman" w:hAnsi="Times New Roman"/>
          <w:b w:val="1"/>
          <w:color w:val="111111"/>
          <w:sz w:val="24"/>
          <w:highlight w:val="white"/>
        </w:rPr>
        <w:t xml:space="preserve"> </w:t>
      </w:r>
      <w:r>
        <w:rPr>
          <w:rFonts w:ascii="Times New Roman" w:hAnsi="Times New Roman"/>
          <w:color w:val="111111"/>
          <w:sz w:val="24"/>
          <w:highlight w:val="white"/>
        </w:rPr>
        <w:t xml:space="preserve"> доказывая подлинность получаемых детьми знаний и представлений, </w:t>
      </w:r>
      <w:r>
        <w:rPr>
          <w:rFonts w:ascii="Times New Roman" w:hAnsi="Times New Roman"/>
          <w:sz w:val="24"/>
        </w:rPr>
        <w:t xml:space="preserve">по расширению кругозора детей, по осуществлению познавательно – исследовательской деятельности, </w:t>
      </w:r>
      <w:r>
        <w:rPr>
          <w:rFonts w:ascii="Times New Roman" w:hAnsi="Times New Roman"/>
          <w:sz w:val="24"/>
        </w:rPr>
        <w:t>р</w:t>
      </w:r>
      <w:r>
        <w:rPr>
          <w:rFonts w:ascii="Times New Roman" w:hAnsi="Times New Roman"/>
          <w:sz w:val="24"/>
        </w:rPr>
        <w:t>асширять представления о жизни людей в прошлом и настоящем, об истории города, страны.</w:t>
      </w:r>
    </w:p>
    <w:p w14:paraId="A7000000">
      <w:pPr>
        <w:spacing w:afterAutospacing="on" w:beforeAutospacing="on" w:line="240" w:lineRule="auto"/>
        <w:ind w:firstLine="0" w:left="0"/>
        <w:contextualSpacing w:val="1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</w:p>
    <w:p w14:paraId="A8000000">
      <w:pPr>
        <w:numPr>
          <w:ilvl w:val="3"/>
          <w:numId w:val="2"/>
        </w:numPr>
        <w:spacing w:afterAutospacing="on" w:beforeAutospacing="on" w:line="240" w:lineRule="auto"/>
        <w:ind w:firstLine="851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образовательной области </w:t>
      </w:r>
      <w:r>
        <w:rPr>
          <w:rFonts w:ascii="Times New Roman" w:hAnsi="Times New Roman"/>
          <w:b w:val="1"/>
          <w:sz w:val="24"/>
        </w:rPr>
        <w:t>«Речевое развитие»</w:t>
      </w:r>
    </w:p>
    <w:p w14:paraId="A9000000">
      <w:pPr>
        <w:spacing w:afterAutospacing="on" w:beforeAutospacing="on" w:line="240" w:lineRule="auto"/>
        <w:ind w:firstLine="0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Продолжить работу по развитию, формированию и совершенствованию речи детей, используя новые формы и </w:t>
      </w:r>
      <w:r>
        <w:rPr>
          <w:rFonts w:ascii="Times New Roman" w:hAnsi="Times New Roman"/>
          <w:sz w:val="24"/>
        </w:rPr>
        <w:t>методы работы; продолжить работу по  развитию речевого творчества; развитию звуковой и интонационной культуры речи, фонематического слуха; продолжать знакомство с книжной культурой, детской литературой,  формировать умение понимать  на слух тексты различных жанров детской литературы; продолжить формирование у детей звуковой аналитико-синтетической активности.</w:t>
      </w:r>
    </w:p>
    <w:p w14:paraId="AA000000">
      <w:pPr>
        <w:spacing w:afterAutospacing="on" w:beforeAutospacing="on" w:line="240" w:lineRule="auto"/>
        <w:ind w:firstLine="0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AB000000">
      <w:pPr>
        <w:numPr>
          <w:ilvl w:val="3"/>
          <w:numId w:val="2"/>
        </w:numPr>
        <w:spacing w:afterAutospacing="on" w:beforeAutospacing="on" w:line="240" w:lineRule="auto"/>
        <w:ind w:firstLine="851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образовательной области </w:t>
      </w:r>
      <w:r>
        <w:rPr>
          <w:rFonts w:ascii="Times New Roman" w:hAnsi="Times New Roman"/>
          <w:b w:val="1"/>
          <w:sz w:val="24"/>
        </w:rPr>
        <w:t>«Художественно – эстетическое развитие»</w:t>
      </w:r>
      <w:r>
        <w:rPr>
          <w:rFonts w:ascii="Times New Roman" w:hAnsi="Times New Roman"/>
          <w:b w:val="1"/>
          <w:color w:val="333333"/>
          <w:sz w:val="24"/>
          <w:highlight w:val="white"/>
        </w:rPr>
        <w:t xml:space="preserve"> </w:t>
      </w:r>
    </w:p>
    <w:p w14:paraId="AC000000">
      <w:pPr>
        <w:spacing w:after="120" w:before="120" w:line="240" w:lineRule="auto"/>
        <w:ind w:hanging="120" w:left="120" w:right="120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 xml:space="preserve"> Способствовать познанию свойств различных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 xml:space="preserve">материалов, их функционального потенциала,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созданию образов, моделей реальных предмет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 xml:space="preserve">ов посредством изобразительной деятельности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(лепка, аппликация, рисование и т.д.)</w:t>
      </w:r>
      <w:r>
        <w:rPr>
          <w:rFonts w:ascii="Times New Roman" w:hAnsi="Times New Roman"/>
          <w:color w:val="333333"/>
          <w:sz w:val="24"/>
          <w:highlight w:val="white"/>
        </w:rPr>
        <w:t xml:space="preserve"> Продолжать работу по развитию </w:t>
      </w:r>
      <w:r>
        <w:rPr>
          <w:rFonts w:ascii="Times New Roman" w:hAnsi="Times New Roman"/>
          <w:color w:val="333333"/>
          <w:sz w:val="24"/>
          <w:highlight w:val="white"/>
        </w:rPr>
        <w:t> </w:t>
      </w:r>
      <w:r>
        <w:rPr>
          <w:rFonts w:ascii="Times New Roman" w:hAnsi="Times New Roman"/>
          <w:color w:val="333333"/>
          <w:sz w:val="24"/>
          <w:highlight w:val="white"/>
        </w:rPr>
        <w:t>детского</w:t>
      </w:r>
      <w:r>
        <w:rPr>
          <w:rFonts w:ascii="Times New Roman" w:hAnsi="Times New Roman"/>
          <w:color w:val="333333"/>
          <w:sz w:val="24"/>
          <w:highlight w:val="white"/>
        </w:rPr>
        <w:t> </w:t>
      </w:r>
      <w:r>
        <w:rPr>
          <w:rFonts w:ascii="Times New Roman" w:hAnsi="Times New Roman"/>
          <w:color w:val="333333"/>
          <w:sz w:val="24"/>
          <w:highlight w:val="white"/>
        </w:rPr>
        <w:t>художественного</w:t>
      </w:r>
      <w:r>
        <w:rPr>
          <w:rFonts w:ascii="Times New Roman" w:hAnsi="Times New Roman"/>
          <w:color w:val="333333"/>
          <w:sz w:val="24"/>
          <w:highlight w:val="white"/>
        </w:rPr>
        <w:t> творчества, интереса к самостоятельной творческой деятельности (изобразительной, конструктивно-модельной, музыкальной и др.); создание условий для поддержки </w:t>
      </w:r>
      <w:r>
        <w:rPr>
          <w:rFonts w:ascii="Times New Roman" w:hAnsi="Times New Roman"/>
          <w:color w:val="333333"/>
          <w:sz w:val="24"/>
          <w:highlight w:val="white"/>
        </w:rPr>
        <w:t>детской</w:t>
      </w:r>
      <w:r>
        <w:rPr>
          <w:rFonts w:ascii="Times New Roman" w:hAnsi="Times New Roman"/>
          <w:color w:val="333333"/>
          <w:sz w:val="24"/>
          <w:highlight w:val="white"/>
        </w:rPr>
        <w:t> непосредственности, развития   фантазии и воображения </w:t>
      </w:r>
      <w:r>
        <w:rPr>
          <w:rFonts w:ascii="Times New Roman" w:hAnsi="Times New Roman"/>
          <w:color w:val="333333"/>
          <w:sz w:val="24"/>
          <w:highlight w:val="white"/>
        </w:rPr>
        <w:t>ребенка</w:t>
      </w:r>
      <w:r>
        <w:rPr>
          <w:rFonts w:ascii="Times New Roman" w:hAnsi="Times New Roman"/>
          <w:color w:val="333333"/>
          <w:sz w:val="24"/>
          <w:highlight w:val="white"/>
        </w:rPr>
        <w:t>;</w:t>
      </w:r>
      <w:r>
        <w:rPr>
          <w:rFonts w:ascii="Times New Roman" w:hAnsi="Times New Roman"/>
          <w:color w:val="333333"/>
          <w:sz w:val="24"/>
          <w:highlight w:val="white"/>
        </w:rPr>
        <w:t xml:space="preserve"> вести работу по развитию</w:t>
      </w:r>
      <w:r>
        <w:rPr>
          <w:rFonts w:ascii="Times New Roman" w:hAnsi="Times New Roman"/>
          <w:color w:val="333333"/>
          <w:sz w:val="24"/>
          <w:highlight w:val="white"/>
        </w:rPr>
        <w:t> смыслового восприятия и понимания произведений искусства и окружающего мира; становлению собственного </w:t>
      </w:r>
      <w:r>
        <w:rPr>
          <w:rFonts w:ascii="Times New Roman" w:hAnsi="Times New Roman"/>
          <w:color w:val="333333"/>
          <w:sz w:val="24"/>
          <w:highlight w:val="white"/>
        </w:rPr>
        <w:t>эстетического</w:t>
      </w:r>
      <w:r>
        <w:rPr>
          <w:rFonts w:ascii="Times New Roman" w:hAnsi="Times New Roman"/>
          <w:color w:val="333333"/>
          <w:sz w:val="24"/>
          <w:highlight w:val="white"/>
        </w:rPr>
        <w:t> отношения к нему.</w:t>
      </w:r>
    </w:p>
    <w:p w14:paraId="AD000000">
      <w:pPr>
        <w:numPr>
          <w:ilvl w:val="3"/>
          <w:numId w:val="2"/>
        </w:numPr>
        <w:spacing w:afterAutospacing="on" w:beforeAutospacing="on" w:line="240" w:lineRule="auto"/>
        <w:ind w:firstLine="851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 образовательной области </w:t>
      </w:r>
      <w:r>
        <w:rPr>
          <w:rFonts w:ascii="Times New Roman" w:hAnsi="Times New Roman"/>
          <w:b w:val="1"/>
          <w:sz w:val="24"/>
        </w:rPr>
        <w:t>«Физическое развитие»</w:t>
      </w:r>
      <w:r>
        <w:rPr>
          <w:rFonts w:ascii="Times New Roman" w:hAnsi="Times New Roman"/>
          <w:color w:val="000000"/>
          <w:sz w:val="24"/>
          <w:highlight w:val="white"/>
        </w:rPr>
        <w:t xml:space="preserve"> продолжить работу по охране и укреплению здоровья детей; формировать жизненно необходимые двигательные умения и навыки ребёнка в соответствии с </w:t>
      </w:r>
      <w:r>
        <w:rPr>
          <w:rFonts w:ascii="Times New Roman" w:hAnsi="Times New Roman"/>
          <w:color w:val="000000"/>
          <w:sz w:val="24"/>
          <w:highlight w:val="white"/>
        </w:rPr>
        <w:t>их</w:t>
      </w:r>
      <w:r>
        <w:rPr>
          <w:rFonts w:ascii="Times New Roman" w:hAnsi="Times New Roman"/>
          <w:color w:val="000000"/>
          <w:sz w:val="24"/>
          <w:highlight w:val="white"/>
        </w:rPr>
        <w:t xml:space="preserve"> индивидуальными особенностями;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продолжить работу над  лёгкостью, свободой движений с хорошей координацией в движениях рук и ног.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Продолжать совершенствовать равновесие посредством разнообразных упражнений, в том числе на уменьшенной и повышенной опоре с заданиями с различными предметами</w:t>
      </w:r>
      <w:r>
        <w:rPr>
          <w:rFonts w:ascii="Times New Roman" w:hAnsi="Times New Roman"/>
          <w:color w:val="000000"/>
          <w:sz w:val="24"/>
          <w:highlight w:val="white"/>
        </w:rPr>
        <w:t xml:space="preserve">. </w:t>
      </w:r>
      <w:r>
        <w:rPr>
          <w:rFonts w:ascii="Times New Roman" w:hAnsi="Times New Roman"/>
          <w:sz w:val="24"/>
        </w:rPr>
        <w:t>Продолжить работу по проявлению элементов творчества в двигательной деятельности детей; по осознанию зависимости между качеством выполнения упражнения и его результатом.</w:t>
      </w:r>
    </w:p>
    <w:p w14:paraId="AE000000">
      <w:pPr>
        <w:spacing w:afterAutospacing="on" w:beforeAutospacing="on" w:line="240" w:lineRule="auto"/>
        <w:ind w:firstLine="851" w:left="0"/>
        <w:contextualSpacing w:val="1"/>
        <w:jc w:val="both"/>
        <w:rPr>
          <w:rFonts w:ascii="Times New Roman" w:hAnsi="Times New Roman"/>
          <w:sz w:val="24"/>
        </w:rPr>
      </w:pPr>
    </w:p>
    <w:p w14:paraId="AF000000">
      <w:pPr>
        <w:spacing w:afterAutospacing="on" w:beforeAutospacing="on" w:line="240" w:lineRule="auto"/>
        <w:ind w:firstLine="0" w:left="0"/>
        <w:contextualSpacing w:val="1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Рекомендации по результатам педагогической диагностики на конец 2025</w:t>
      </w:r>
      <w:r>
        <w:rPr>
          <w:rFonts w:ascii="Times New Roman" w:hAnsi="Times New Roman"/>
          <w:b w:val="1"/>
          <w:i w:val="1"/>
          <w:sz w:val="24"/>
        </w:rPr>
        <w:t xml:space="preserve">-2026 </w:t>
      </w:r>
      <w:r>
        <w:rPr>
          <w:rFonts w:ascii="Times New Roman" w:hAnsi="Times New Roman"/>
          <w:b w:val="1"/>
          <w:i w:val="1"/>
          <w:sz w:val="24"/>
        </w:rPr>
        <w:t>учебного года родителям с целью организации работы с детьми:</w:t>
      </w:r>
    </w:p>
    <w:p w14:paraId="B0000000">
      <w:pPr>
        <w:spacing w:afterAutospacing="on" w:beforeAutospacing="on" w:line="240" w:lineRule="auto"/>
        <w:ind w:firstLine="0" w:left="0"/>
        <w:contextualSpacing w:val="1"/>
        <w:jc w:val="center"/>
        <w:rPr>
          <w:rFonts w:ascii="Times New Roman" w:hAnsi="Times New Roman"/>
          <w:b w:val="1"/>
          <w:i w:val="1"/>
          <w:sz w:val="24"/>
        </w:rPr>
      </w:pPr>
    </w:p>
    <w:p w14:paraId="B1000000">
      <w:pPr>
        <w:spacing w:afterAutospacing="on" w:beforeAutospacing="on" w:line="240" w:lineRule="auto"/>
        <w:ind w:firstLine="708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b w:val="1"/>
          <w:i w:val="0"/>
          <w:sz w:val="24"/>
        </w:rPr>
        <w:t>Образовательная область «Социально – коммуникативное развитие».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Организ</w:t>
      </w:r>
      <w:r>
        <w:rPr>
          <w:rFonts w:ascii="Times New Roman" w:hAnsi="Times New Roman"/>
          <w:sz w:val="24"/>
          <w:highlight w:val="white"/>
        </w:rPr>
        <w:t>уйте</w:t>
      </w:r>
      <w:r>
        <w:rPr>
          <w:rFonts w:ascii="Times New Roman" w:hAnsi="Times New Roman"/>
          <w:sz w:val="24"/>
          <w:highlight w:val="white"/>
        </w:rPr>
        <w:t xml:space="preserve"> свободное время и совместный с детьми досуг (семейные и другие праздники, походы, прогулки, посещение зоопарка, парка); най</w:t>
      </w:r>
      <w:r>
        <w:rPr>
          <w:rFonts w:ascii="Times New Roman" w:hAnsi="Times New Roman"/>
          <w:sz w:val="24"/>
          <w:highlight w:val="white"/>
        </w:rPr>
        <w:t>дите</w:t>
      </w:r>
      <w:r>
        <w:rPr>
          <w:rFonts w:ascii="Times New Roman" w:hAnsi="Times New Roman"/>
          <w:sz w:val="24"/>
          <w:highlight w:val="white"/>
        </w:rPr>
        <w:t xml:space="preserve"> общие семейные интересы и увлечения (коллекционирование, спорт, творчество);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учите детей правилам этикета (говорить «волшебные» слова, соблюдать правила поведения за столом, на улице), правилам поведения со взрослыми;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поощряйте совместные игры ребенка со сверстниками;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создавайте детям условия для игр с природным материалом (шишками, камешками, листьями, веточками, песком, глиной и пр.)</w:t>
      </w:r>
    </w:p>
    <w:p w14:paraId="B2000000">
      <w:pPr>
        <w:tabs>
          <w:tab w:leader="none" w:pos="709" w:val="left"/>
        </w:tabs>
        <w:spacing w:line="240" w:lineRule="auto"/>
        <w:ind w:firstLine="0" w:left="170" w:right="113"/>
        <w:contextualSpacing w:val="1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  <w:r>
        <w:rPr>
          <w:rFonts w:ascii="Times New Roman" w:hAnsi="Times New Roman"/>
          <w:b w:val="1"/>
          <w:i w:val="1"/>
          <w:sz w:val="24"/>
        </w:rPr>
        <w:tab/>
      </w:r>
      <w:r>
        <w:rPr>
          <w:rFonts w:ascii="Times New Roman" w:hAnsi="Times New Roman"/>
          <w:b w:val="1"/>
          <w:color w:val="000000"/>
          <w:sz w:val="24"/>
        </w:rPr>
        <w:t>Образовательная область «Познавательное развитие».</w:t>
      </w:r>
      <w:r>
        <w:rPr>
          <w:rFonts w:ascii="Times New Roman" w:hAnsi="Times New Roman"/>
          <w:b w:val="0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Продолжайте поддерживать познавательную активность ребёнка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>, проявляя личную заинтересованность в его исследованиях</w:t>
      </w:r>
      <w:r>
        <w:rPr>
          <w:rFonts w:ascii="Times New Roman" w:hAnsi="Times New Roman"/>
          <w:b w:val="0"/>
          <w:sz w:val="24"/>
        </w:rPr>
        <w:t>.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  <w:highlight w:val="white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 xml:space="preserve">Почаще наблюдайте с детьми , обсуждая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услышанное и увиденное.</w:t>
      </w:r>
      <w:r>
        <w:rPr>
          <w:rFonts w:ascii="Times New Roman" w:hAnsi="Times New Roman"/>
          <w:sz w:val="24"/>
        </w:rPr>
        <w:t xml:space="preserve"> Продолжайте развивать у ребенка потребность к познанию, общению с взрослыми и сверстниками. Обращайте  внимание  на ценность детских вопросов. Побуждайте находить на них ответы посредством совместных с ребенком наблюдений, экспериментов, размышлений, чтения художественной и познавательной литературы, просмотра художественных, документальных видеофильмов. </w:t>
      </w:r>
    </w:p>
    <w:p w14:paraId="B3000000">
      <w:pPr>
        <w:tabs>
          <w:tab w:leader="none" w:pos="709" w:val="left"/>
        </w:tabs>
        <w:spacing w:line="240" w:lineRule="auto"/>
        <w:ind w:firstLine="0" w:left="170" w:right="113"/>
        <w:contextualSpacing w:val="1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</w:p>
    <w:p w14:paraId="B4000000">
      <w:pPr>
        <w:tabs>
          <w:tab w:leader="none" w:pos="709" w:val="left"/>
        </w:tabs>
        <w:spacing w:after="0" w:line="240" w:lineRule="auto"/>
        <w:ind w:firstLine="0" w:left="170" w:right="113"/>
        <w:contextualSpacing w:val="1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  <w:r>
        <w:rPr>
          <w:rFonts w:ascii="Times New Roman" w:hAnsi="Times New Roman"/>
          <w:b w:val="1"/>
          <w:color w:val="000000"/>
          <w:sz w:val="24"/>
        </w:rPr>
        <w:tab/>
      </w:r>
      <w:r>
        <w:rPr>
          <w:rFonts w:ascii="Times New Roman" w:hAnsi="Times New Roman"/>
          <w:b w:val="1"/>
          <w:color w:val="000000"/>
          <w:sz w:val="24"/>
        </w:rPr>
        <w:t>Образовательная область «Речевое развитие»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 xml:space="preserve"> Тренируйте детей в пересказе рассказов, 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сказок по схематическому плану, состав</w:t>
      </w:r>
      <w:r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  <w:t>ленному вами</w:t>
      </w:r>
      <w:r>
        <w:rPr>
          <w:rFonts w:ascii="Times New Roman" w:hAnsi="Times New Roman"/>
          <w:b w:val="1"/>
          <w:color w:val="000000"/>
          <w:sz w:val="24"/>
        </w:rPr>
        <w:t xml:space="preserve">. </w:t>
      </w:r>
      <w:r>
        <w:rPr>
          <w:rFonts w:ascii="Times New Roman" w:hAnsi="Times New Roman"/>
          <w:sz w:val="24"/>
          <w:highlight w:val="white"/>
        </w:rPr>
        <w:t xml:space="preserve">Расширяйте  и активизируйтё словарный запас на основе углубления представлений ребенка об окружающей действительности. </w:t>
      </w:r>
      <w:r>
        <w:rPr>
          <w:rFonts w:ascii="Times New Roman" w:hAnsi="Times New Roman"/>
          <w:sz w:val="24"/>
          <w:highlight w:val="white"/>
        </w:rPr>
        <w:t>Читайте и заучивайте стихи</w:t>
      </w:r>
      <w:r>
        <w:rPr>
          <w:rFonts w:ascii="Times New Roman" w:hAnsi="Times New Roman"/>
          <w:sz w:val="24"/>
          <w:highlight w:val="white"/>
        </w:rPr>
        <w:t xml:space="preserve">, </w:t>
      </w:r>
      <w:r>
        <w:rPr>
          <w:rFonts w:ascii="Times New Roman" w:hAnsi="Times New Roman"/>
          <w:sz w:val="24"/>
          <w:highlight w:val="white"/>
        </w:rPr>
        <w:t>читайте сказки, короткие рассказы, истории с последующим пересказом.</w:t>
      </w:r>
      <w:r>
        <w:rPr>
          <w:rFonts w:ascii="Times New Roman" w:hAnsi="Times New Roman"/>
          <w:sz w:val="24"/>
          <w:highlight w:val="white"/>
        </w:rPr>
        <w:t xml:space="preserve"> У</w:t>
      </w:r>
      <w:r>
        <w:rPr>
          <w:rFonts w:ascii="Times New Roman" w:hAnsi="Times New Roman"/>
          <w:sz w:val="24"/>
          <w:highlight w:val="white"/>
        </w:rPr>
        <w:t>чите детей ежедневно рассказывать о погоде, о том, что они увидели, чем занимались;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 xml:space="preserve">развивайте речевое дыхание ребёнка, </w:t>
      </w:r>
      <w:r>
        <w:rPr>
          <w:rFonts w:ascii="Times New Roman" w:hAnsi="Times New Roman"/>
          <w:sz w:val="24"/>
          <w:highlight w:val="white"/>
        </w:rPr>
        <w:t>следите за выполнением детьми артикуляционной гимнастики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  <w:highlight w:val="white"/>
        </w:rPr>
        <w:t xml:space="preserve"> И</w:t>
      </w:r>
      <w:r>
        <w:rPr>
          <w:rFonts w:ascii="Times New Roman" w:hAnsi="Times New Roman"/>
          <w:sz w:val="24"/>
          <w:highlight w:val="white"/>
        </w:rPr>
        <w:t>справляйте неверно произнесённые ребёнком слова.  Поправляйте речь ребёнка спокойно, произнося слово, верно, не требуйте сразу повторить слово правильно.</w:t>
      </w:r>
      <w:r>
        <w:rPr>
          <w:rFonts w:ascii="Times New Roman" w:hAnsi="Times New Roman"/>
          <w:b w:val="1"/>
          <w:color w:val="000000"/>
          <w:sz w:val="24"/>
        </w:rPr>
        <w:tab/>
      </w:r>
    </w:p>
    <w:p w14:paraId="B5000000">
      <w:pPr>
        <w:tabs>
          <w:tab w:leader="none" w:pos="709" w:val="left"/>
        </w:tabs>
        <w:spacing w:after="0" w:line="240" w:lineRule="auto"/>
        <w:ind w:firstLine="0" w:left="170" w:right="113"/>
        <w:contextualSpacing w:val="1"/>
        <w:jc w:val="both"/>
        <w:rPr>
          <w:rFonts w:ascii="Times New Roman" w:hAnsi="Times New Roman"/>
          <w:b w:val="0"/>
          <w:i w:val="0"/>
          <w:caps w:val="0"/>
          <w:color w:val="34343C"/>
          <w:spacing w:val="0"/>
          <w:sz w:val="24"/>
          <w:highlight w:val="white"/>
        </w:rPr>
      </w:pPr>
    </w:p>
    <w:p w14:paraId="B6000000">
      <w:pPr>
        <w:tabs>
          <w:tab w:leader="none" w:pos="709" w:val="left"/>
        </w:tabs>
        <w:spacing w:after="0" w:line="240" w:lineRule="auto"/>
        <w:ind w:firstLine="0" w:left="170" w:right="113"/>
        <w:contextualSpacing w:val="1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b w:val="1"/>
          <w:color w:val="000000"/>
          <w:sz w:val="24"/>
        </w:rPr>
        <w:tab/>
      </w:r>
      <w:r>
        <w:rPr>
          <w:rFonts w:ascii="Times New Roman" w:hAnsi="Times New Roman"/>
          <w:b w:val="1"/>
          <w:color w:val="000000"/>
          <w:sz w:val="24"/>
        </w:rPr>
        <w:t xml:space="preserve">Образовательная область «Художественно – эстетическое развитие»  </w:t>
      </w:r>
      <w:r>
        <w:rPr>
          <w:rFonts w:ascii="Times New Roman" w:hAnsi="Times New Roman"/>
          <w:sz w:val="24"/>
        </w:rPr>
        <w:t xml:space="preserve"> Знакомьте детей с разными видами искусства путем созерцания картин в музеях, просмотра репродукций в компьютерном режиме, журналах, книгах, поездках;  упражнять в определении жанра живописи: пейзаж, натюрморт, портрет, сказочный, бытовой, анималистический;  предоставьте возможность самостоятельно изображать предметы, животных, деревья, транспорт, людей и т. п.;  поддерживайте желание рисовать, лепить, заниматься аппликацией, конструировать, передавать свои впечатления в изображениях; поощряйте творчество ребенка; поддерживайте его </w:t>
      </w:r>
      <w:r>
        <w:rPr>
          <w:rFonts w:ascii="Times New Roman" w:hAnsi="Times New Roman"/>
          <w:sz w:val="24"/>
        </w:rPr>
        <w:t xml:space="preserve">инициативу; поддерживайте желание слушать музыку, эмоционально откликаться на нее, передавать свои впечатления; 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ривлекайте  детей к театрально - игровой деятельности:   обыгрыванию элементарных жизненных ситуаций с игрушками, инсценировать знакомые литературные произведения, сказки, рассказы, стихи.</w:t>
      </w:r>
    </w:p>
    <w:p w14:paraId="B7000000">
      <w:pPr>
        <w:tabs>
          <w:tab w:leader="none" w:pos="709" w:val="left"/>
        </w:tabs>
        <w:spacing w:after="0" w:line="240" w:lineRule="auto"/>
        <w:ind w:firstLine="0" w:left="170" w:right="113"/>
        <w:contextualSpacing w:val="1"/>
        <w:jc w:val="both"/>
        <w:rPr>
          <w:rFonts w:ascii="Times New Roman" w:hAnsi="Times New Roman"/>
          <w:sz w:val="24"/>
          <w:highlight w:val="white"/>
        </w:rPr>
      </w:pPr>
    </w:p>
    <w:p w14:paraId="B8000000">
      <w:pPr>
        <w:tabs>
          <w:tab w:leader="none" w:pos="709" w:val="left"/>
        </w:tabs>
        <w:spacing w:line="240" w:lineRule="auto"/>
        <w:ind w:firstLine="0" w:left="170" w:right="1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ab/>
      </w:r>
      <w:r>
        <w:rPr>
          <w:rFonts w:ascii="Times New Roman" w:hAnsi="Times New Roman"/>
          <w:b w:val="1"/>
          <w:i w:val="1"/>
          <w:sz w:val="24"/>
        </w:rPr>
        <w:t xml:space="preserve">Образовательная область «Физическое развитие» </w:t>
      </w:r>
      <w:r>
        <w:rPr>
          <w:rFonts w:ascii="Times New Roman" w:hAnsi="Times New Roman"/>
          <w:sz w:val="24"/>
        </w:rPr>
        <w:t>Продолжайте вести здоровый образ жизни семьи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проводите все свободное время на свежем воздухе, не нарушайте режим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ребенка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Планир</w:t>
      </w:r>
      <w:r>
        <w:rPr>
          <w:rFonts w:ascii="Times New Roman" w:hAnsi="Times New Roman"/>
          <w:sz w:val="24"/>
        </w:rPr>
        <w:t>уйте</w:t>
      </w:r>
      <w:r>
        <w:rPr>
          <w:rFonts w:ascii="Times New Roman" w:hAnsi="Times New Roman"/>
          <w:sz w:val="24"/>
        </w:rPr>
        <w:t xml:space="preserve"> совместный активный отдых, направленный на воздействие укрепления здоровья детей, тем самым способствовать накоплению и обогащению двигательного опыта детей, развивая у них потребность в двигательной активности, интерес к физическим упражнениям.</w:t>
      </w:r>
    </w:p>
    <w:p w14:paraId="B9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</w:p>
    <w:p w14:paraId="BA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Воспитатели    _____________________   Юдина С. М.</w:t>
      </w:r>
    </w:p>
    <w:p w14:paraId="BB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               _____________________    </w:t>
      </w:r>
      <w:r>
        <w:rPr>
          <w:rFonts w:ascii="Times New Roman" w:hAnsi="Times New Roman"/>
          <w:b w:val="0"/>
          <w:sz w:val="24"/>
        </w:rPr>
        <w:t>Степанько</w:t>
      </w:r>
      <w:r>
        <w:rPr>
          <w:rFonts w:ascii="Times New Roman" w:hAnsi="Times New Roman"/>
          <w:b w:val="0"/>
          <w:sz w:val="24"/>
        </w:rPr>
        <w:t xml:space="preserve"> Н.А.</w:t>
      </w:r>
    </w:p>
    <w:p w14:paraId="BC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</w:p>
    <w:p w14:paraId="BD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Дата:_</w:t>
      </w:r>
      <w:r>
        <w:rPr>
          <w:rFonts w:ascii="Times New Roman" w:hAnsi="Times New Roman"/>
          <w:b w:val="0"/>
          <w:sz w:val="24"/>
        </w:rPr>
        <w:t>___________</w:t>
      </w:r>
    </w:p>
    <w:p w14:paraId="BE000000">
      <w:pPr>
        <w:spacing w:after="12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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ind w:hanging="360" w:left="108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144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ind w:hanging="360" w:left="180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ind w:hanging="360" w:left="21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ind w:hanging="360" w:left="252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ind w:hanging="360" w:left="3240"/>
      </w:pPr>
      <w:rPr>
        <w:rFonts w:ascii="Symbol" w:hAnsi="Symbol"/>
      </w:rPr>
    </w:lvl>
  </w:abstractNum>
  <w:abstractNum w:abstractNumId="1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List Paragraph"/>
    <w:basedOn w:val="Style_3"/>
    <w:link w:val="Style_5_ch"/>
    <w:pPr>
      <w:ind w:firstLine="0" w:left="720"/>
      <w:contextualSpacing w:val="1"/>
    </w:pPr>
  </w:style>
  <w:style w:styleId="Style_5_ch" w:type="character">
    <w:name w:val="List Paragraph"/>
    <w:basedOn w:val="Style_3_ch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Balloon Text"/>
    <w:basedOn w:val="Style_3"/>
    <w:link w:val="Style_10_ch"/>
    <w:pPr>
      <w:spacing w:after="0"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3_ch"/>
    <w:link w:val="Style_10"/>
    <w:rPr>
      <w:rFonts w:ascii="Segoe UI" w:hAnsi="Segoe UI"/>
      <w:sz w:val="1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" w:type="paragraph">
    <w:name w:val="Normal (Web)"/>
    <w:basedOn w:val="Style_3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toc 3"/>
    <w:next w:val="Style_3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6_ch" w:type="character">
    <w:name w:val="heading 5"/>
    <w:link w:val="Style_16"/>
    <w:rPr>
      <w:rFonts w:ascii="XO Thames" w:hAnsi="XO Thames"/>
      <w:b w:val="1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/>
      <w:jc w:val="both"/>
    </w:pPr>
    <w:rPr>
      <w:rFonts w:ascii="XO Thames" w:hAnsi="XO Thames"/>
    </w:rPr>
  </w:style>
  <w:style w:styleId="Style_19_ch" w:type="character">
    <w:name w:val="Footnote"/>
    <w:link w:val="Style_19"/>
    <w:rPr>
      <w:rFonts w:ascii="XO Thames" w:hAnsi="XO Thames"/>
    </w:rPr>
  </w:style>
  <w:style w:styleId="Style_20" w:type="paragraph">
    <w:name w:val="toc 1"/>
    <w:next w:val="Style_3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3"/>
    <w:link w:val="Style_22_ch"/>
    <w:uiPriority w:val="39"/>
    <w:pPr>
      <w:ind w:firstLine="0"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3"/>
    <w:link w:val="Style_23_ch"/>
    <w:uiPriority w:val="39"/>
    <w:pPr>
      <w:ind w:firstLine="0"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Строгий1"/>
    <w:basedOn w:val="Style_12"/>
    <w:link w:val="Style_24_ch"/>
    <w:rPr>
      <w:b w:val="1"/>
    </w:rPr>
  </w:style>
  <w:style w:styleId="Style_24_ch" w:type="character">
    <w:name w:val="Строгий1"/>
    <w:basedOn w:val="Style_12_ch"/>
    <w:link w:val="Style_24"/>
    <w:rPr>
      <w:b w:val="1"/>
    </w:rPr>
  </w:style>
  <w:style w:styleId="Style_25" w:type="paragraph">
    <w:name w:val="toc 5"/>
    <w:next w:val="Style_3"/>
    <w:link w:val="Style_25_ch"/>
    <w:uiPriority w:val="39"/>
    <w:pPr>
      <w:ind w:firstLine="0"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Выделение1"/>
    <w:basedOn w:val="Style_12"/>
    <w:link w:val="Style_26_ch"/>
    <w:rPr>
      <w:i w:val="1"/>
    </w:rPr>
  </w:style>
  <w:style w:styleId="Style_26_ch" w:type="character">
    <w:name w:val="Выделение1"/>
    <w:basedOn w:val="Style_12_ch"/>
    <w:link w:val="Style_26"/>
    <w:rPr>
      <w:i w:val="1"/>
    </w:rPr>
  </w:style>
  <w:style w:styleId="Style_27" w:type="paragraph">
    <w:name w:val="Subtitle"/>
    <w:next w:val="Style_3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oc 10"/>
    <w:next w:val="Style_3"/>
    <w:link w:val="Style_28_ch"/>
    <w:uiPriority w:val="39"/>
    <w:pPr>
      <w:ind w:firstLine="0" w:left="1800"/>
    </w:pPr>
    <w:rPr>
      <w:rFonts w:ascii="XO Thames" w:hAnsi="XO Thames"/>
      <w:sz w:val="28"/>
    </w:rPr>
  </w:style>
  <w:style w:styleId="Style_28_ch" w:type="character">
    <w:name w:val="toc 10"/>
    <w:link w:val="Style_28"/>
    <w:rPr>
      <w:rFonts w:ascii="XO Thames" w:hAnsi="XO Thames"/>
      <w:sz w:val="28"/>
    </w:rPr>
  </w:style>
  <w:style w:styleId="Style_29" w:type="paragraph">
    <w:name w:val="Title"/>
    <w:next w:val="Style_3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3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3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Сетка таблицы11"/>
    <w:basedOn w:val="Style_3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3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Сетка таблицы1"/>
    <w:basedOn w:val="Style_3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2026-05-25T07:53:23Z</dcterms:modified>
</cp:coreProperties>
</file>